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ПРИГОРОДНЕНСКОГО СЕЛЬСОВЕТА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E02E6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28</w:t>
      </w:r>
      <w:bookmarkStart w:id="0" w:name="_GoBack"/>
      <w:bookmarkEnd w:id="0"/>
      <w:r w:rsidR="00A16A1B">
        <w:rPr>
          <w:rFonts w:ascii="Arial" w:hAnsi="Arial" w:cs="Arial"/>
          <w:b/>
          <w:sz w:val="32"/>
          <w:szCs w:val="32"/>
        </w:rPr>
        <w:t xml:space="preserve"> июня 2022    года  №  13-37-7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Порядка определения платы за использование земель или земельных участков, находящихся в муниципальной собственности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сельсовет», для возведения гражданами гаражей, являющихся  некапитальными сооружениями</w:t>
      </w:r>
    </w:p>
    <w:p w:rsidR="00A16A1B" w:rsidRDefault="00A16A1B" w:rsidP="00A16A1B">
      <w:pPr>
        <w:spacing w:line="48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2 статьи 39</w:t>
      </w:r>
      <w:r>
        <w:rPr>
          <w:rFonts w:ascii="Arial" w:hAnsi="Arial" w:cs="Arial"/>
          <w:sz w:val="24"/>
          <w:szCs w:val="24"/>
          <w:vertAlign w:val="superscript"/>
        </w:rPr>
        <w:t xml:space="preserve">36-1 </w:t>
      </w:r>
      <w:r>
        <w:rPr>
          <w:rFonts w:ascii="Arial" w:hAnsi="Arial" w:cs="Arial"/>
          <w:sz w:val="24"/>
          <w:szCs w:val="24"/>
        </w:rPr>
        <w:t>Земельного кодекса Российской Федерации,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Пригородненский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Администрация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постановляет: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Установить прилагаемый Порядок 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Пригородненский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для возведения гражданами гаражей, являющихся некапитальными сооружениями.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С.Ю.Докукина</w:t>
      </w:r>
      <w:proofErr w:type="spellEnd"/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В.И.Воронин</w:t>
      </w:r>
      <w:proofErr w:type="spellEnd"/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left="5670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16A1B" w:rsidRDefault="00A16A1B" w:rsidP="00A16A1B">
      <w:pPr>
        <w:ind w:firstLine="5103"/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609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УТВЕРЖДЁН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Собрания депутатов            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A16A1B" w:rsidRDefault="00A16A1B" w:rsidP="00A16A1B">
      <w:pPr>
        <w:ind w:left="6096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27.06.2022    № 13-37-7   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A16A1B" w:rsidRDefault="00A16A1B" w:rsidP="00A16A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определения размера платы за использование земель или земельного участка,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b/>
          <w:sz w:val="32"/>
          <w:szCs w:val="32"/>
        </w:rPr>
        <w:t>Пригородненский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сельсовет», для возведения гражданами гаражей,</w:t>
      </w:r>
    </w:p>
    <w:p w:rsidR="00A16A1B" w:rsidRDefault="00A16A1B" w:rsidP="00A16A1B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32"/>
          <w:szCs w:val="32"/>
        </w:rPr>
        <w:t>являющихся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 некапитальными сооружениями</w:t>
      </w:r>
    </w:p>
    <w:p w:rsidR="00A16A1B" w:rsidRDefault="00A16A1B" w:rsidP="00A16A1B">
      <w:pPr>
        <w:jc w:val="right"/>
        <w:rPr>
          <w:rFonts w:ascii="Arial" w:hAnsi="Arial" w:cs="Arial"/>
          <w:sz w:val="24"/>
          <w:szCs w:val="24"/>
        </w:rPr>
      </w:pPr>
    </w:p>
    <w:p w:rsidR="00A16A1B" w:rsidRDefault="00A16A1B" w:rsidP="00A16A1B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Настоящий Порядок устанавливает правила определения платы за использование земельных участков, находящихся в муниципальной собственности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Пригородненский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сельсовет», для возведения гражданами гаражей, являющихся некапитальными сооружениями (далее – земельные участки).</w:t>
      </w:r>
    </w:p>
    <w:p w:rsidR="00A16A1B" w:rsidRDefault="00A16A1B" w:rsidP="00A16A1B">
      <w:pPr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Размер платы за использование земельных участков определяется Администрацией </w:t>
      </w:r>
      <w:proofErr w:type="spellStart"/>
      <w:r>
        <w:rPr>
          <w:rFonts w:ascii="Arial" w:hAnsi="Arial" w:cs="Arial"/>
          <w:sz w:val="24"/>
          <w:szCs w:val="24"/>
        </w:rPr>
        <w:t>Пригородненского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далее – уполномоченный орган).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3.Размер платы за использование земельных участков, находящихся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Пригородненский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возведения гражданами гаражей, являющихся некапитальными сооружениями, определяется уполномоченным органом по формуле:</w:t>
      </w:r>
    </w:p>
    <w:p w:rsidR="00A16A1B" w:rsidRDefault="00A16A1B" w:rsidP="00A16A1B">
      <w:pPr>
        <w:widowControl w:val="0"/>
        <w:autoSpaceDE w:val="0"/>
        <w:autoSpaceDN w:val="0"/>
        <w:ind w:left="495"/>
        <w:rPr>
          <w:rFonts w:ascii="Arial" w:eastAsia="Times New Roman" w:hAnsi="Arial" w:cs="Arial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b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(КС х </w:t>
      </w: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) х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Кд / Кг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где: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КС – кадастровая стоимость земельного участка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Пригородненского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(%);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коэффициент площади земельного участка применяется равной 1.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 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КЧп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Пч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/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Побщ</w:t>
      </w:r>
      <w:proofErr w:type="spell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где: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Пч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площадь части земельного участка, используемого для возведения гаража, являющегося некапитальным сооружением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Побщ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- общая площадь земельного участка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Кг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дней в году (365 или 366 дней).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4.Размер платы за использование земельных участков (в случае, если не определена кадастровая стоимость), находящихся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Пригородненский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=  Су х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х Кд / Кг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где: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РПл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размер платы (руб.);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Су –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район» на территории Курской области, утвержденный нормативным правовым актом Курской области;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>.);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Ст</w:t>
      </w:r>
      <w:proofErr w:type="spellEnd"/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Собранием депутатов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Пригородненского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сельсовета (%);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Кг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количество дней в году (365 или 366 дней).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5.Перерасчет размера платы за использование земельных участков, находящихся в собственности муниципального образования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Пригородненский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сельсовет», для  возведения гражданами гаражей, являющихся некапитальными сооружениями, производится Администрацией сельсовета: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5.1.в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 xml:space="preserve">5.2.в отношении земель и земельных участков, указанных в пункте 4 </w:t>
      </w: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>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район» на территории Курской области,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первом</w:t>
      </w:r>
      <w:proofErr w:type="gram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настоящего пункта.</w:t>
      </w:r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Основанием для перерасчета является принятие нормативного правового акта Курской области об утверждении среднего уровня кадастровой стоимости земель и земельных участков по муниципальному району «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Щигровский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район» на территории Курской области.</w:t>
      </w:r>
    </w:p>
    <w:p w:rsidR="00A16A1B" w:rsidRDefault="00A16A1B" w:rsidP="00A16A1B">
      <w:pPr>
        <w:widowControl w:val="0"/>
        <w:autoSpaceDE w:val="0"/>
        <w:autoSpaceDN w:val="0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5.3. 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A16A1B" w:rsidRDefault="00A16A1B" w:rsidP="00A16A1B">
      <w:pPr>
        <w:widowControl w:val="0"/>
        <w:autoSpaceDE w:val="0"/>
        <w:autoSpaceDN w:val="0"/>
        <w:ind w:left="142" w:firstLine="353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A16A1B" w:rsidRDefault="00A16A1B" w:rsidP="00A16A1B">
      <w:pPr>
        <w:rPr>
          <w:rFonts w:ascii="Arial" w:hAnsi="Arial" w:cs="Arial"/>
          <w:sz w:val="24"/>
          <w:szCs w:val="24"/>
        </w:rPr>
      </w:pPr>
    </w:p>
    <w:p w:rsidR="003A3653" w:rsidRDefault="003A3653"/>
    <w:sectPr w:rsidR="003A3653" w:rsidSect="00A16A1B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1B"/>
    <w:rsid w:val="003A3653"/>
    <w:rsid w:val="00A16A1B"/>
    <w:rsid w:val="00AE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2SeTFO/vFIMu/4gxXMONWM3+PkYXrxkfRm7mJLgF5sk=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wzvrlwGmFC2mmmkcjIpvmuM9HFgFBeMQw8go5CbnoOE=</DigestValue>
    </Reference>
  </SignedInfo>
  <SignatureValue>KXUacmk1tiGnZzPKrxmKed4nd743qsO4mKpxwNgFV6zqkSz9hCe99bHFVqQJTUvM
UkhxbqagkJD20gnpecKNgQ==</SignatureValue>
  <KeyInfo>
    <X509Data>
      <X509Certificate>MIII2jCCCIegAwIBAgIRAN5qVQsYHal+nry/rMbQNgMwCgYIKoUDBwEBAwIwggFX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gdGB0LjQuDAeFw0yMjAyMjQxMjI3MDBaFw0yMzA1MjAxMTAzMDBaMIIB4jE3MDUG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G2pvZrTmuvQoTzolk+ToGg5598U=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zaGNbNyHSx9TJgzOLv41Ei77diw=</DigestValue>
      </Reference>
      <Reference URI="/word/styles.xml?ContentType=application/vnd.openxmlformats-officedocument.wordprocessingml.styles+xml">
        <DigestMethod Algorithm="http://www.w3.org/2000/09/xmldsig#sha1"/>
        <DigestValue>HPMcSUH7obMCNVYSEVOwWqg83v4=</DigestValue>
      </Reference>
      <Reference URI="/word/stylesWithEffects.xml?ContentType=application/vnd.ms-word.stylesWithEffects+xml">
        <DigestMethod Algorithm="http://www.w3.org/2000/09/xmldsig#sha1"/>
        <DigestValue>HQ+8hKpYByQDCRK6+XuXFEGBSds=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wmrsNDYo8eNKGqPnrxFVTmjuPWE=</DigestValue>
      </Reference>
    </Manifest>
    <SignatureProperties>
      <SignatureProperty Id="idSignatureTime" Target="#idPackageSignature">
        <mdssi:SignatureTime>
          <mdssi:Format>YYYY-MM-DDThh:mm:ssTZD</mdssi:Format>
          <mdssi:Value>2022-06-30T10:58:31Z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2022-06-30T10:58:31Z</xd:SigningTime>
          <xd:SigningCertificate>
            <xd:Cert>
              <xd:CertDigest>
                <DigestMethod Algorithm="http://www.w3.org/2000/09/xmldsig#sha1"/>
                <DigestValue>dgNwfmvOI/y31+T1QH55KOo//as=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295640723415045613062307841093787465219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1045</Words>
  <Characters>5962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2022-06-28T10:56:00Z</dcterms:created>
  <dcterms:modified xsi:type="dcterms:W3CDTF">2022-06-28T11:09:00Z</dcterms:modified>
</cp:coreProperties>
</file>